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НПО Кыргызстана и процессы государственного управления</w:t>
      </w:r>
    </w:p>
    <w:p w:rsidR="00492757" w:rsidRDefault="00492757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232EA8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http://analitika.akipress.org/news:5048</w:t>
        </w:r>
      </w:hyperlink>
      <w:bookmarkStart w:id="0" w:name="_GoBack"/>
      <w:bookmarkEnd w:id="0"/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Медет</w:t>
      </w:r>
      <w:proofErr w:type="spell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Тюлегенов</w:t>
      </w:r>
      <w:proofErr w:type="spell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, внешний эксперт НИСИ КР</w:t>
      </w:r>
    </w:p>
    <w:p w:rsidR="00021E9A" w:rsidRPr="00021E9A" w:rsidRDefault="00021E9A" w:rsidP="00021E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 неправительственного сектора в Кыргызстане явился результатом активности граждан, благоприятной нормативной и политической средой и финансированием со стороны зарубежных доноров. Рост гражданского сектора сопровождался ростом взаимодействия с государством, включая и усиление влияния на процессы принятия решений органами государственной власти.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Влияние НПО на решения, принимаемые государственными органами, приобретает различные формы. Неправительственные организации нередко участвуют в протестных акциях как способах влияния. И приток новых организаций в неправительственный сектор с различными ценностными установками и с разными методами работы на общем протестном фоне делает устойчивой такого рода форму влияния на решения органов государственной власти, особенно в предвыборный 2014 год. Хотя различные формы вовлечения НПО в процессы принятия решений в определенной степени </w:t>
      </w:r>
      <w:proofErr w:type="spell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институциализированы</w:t>
      </w:r>
      <w:proofErr w:type="spell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пока еще не устойчивы. Существуют общественные наблюдательные советы, практика вовлечения НПО в рабочие группы, мониторинг НПО деятельности государственных органов, однако в целом политика государства по отношению к сектору в целом и, в частности, к его роли в системе государственного управления остается не четко сформулированной.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настоящему времени в Кыргызстане зарегистрировано множество неправительственных организаций, однако количество активно работающих в несколько раз меньше. Согласно исследованиям</w:t>
      </w:r>
      <w:r w:rsidRPr="00021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проведенным Ассоциацией поддержки гражданского общества (АЦПГО) в 2006 и 2013 гг., в стране, несмотря на существование многих тысяч официально зарегистрированных НПО (около 8 тыс. в 2006 г. и около 16 тыс. в 2013 г.) активно действующих организаций не более нескольких сотен. В целом (см. диаграмму 1), несмотря на увеличение за этот период количества зарегистрированных НПО, количество активных организаций не увеличилось как по стране в целом, так и в региональном разрезе (за исключением г. Бишкек, где данные за 2013 г. показывают большой рост по сравнению с 2006 г.). Также стоит отметить, что 47% из опрошенных НПО в 2013 г. составляли организации, которые были зарегистрированы в 2010-2012 гг.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Диаграмма 1. </w:t>
      </w:r>
      <w:r w:rsidRPr="0002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 активных НПО по регионам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21E9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(2006 и 2013 гг.)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D20EABD" wp14:editId="52DA461A">
            <wp:extent cx="4754880" cy="2552700"/>
            <wp:effectExtent l="0" t="0" r="7620" b="0"/>
            <wp:docPr id="1" name="Рисунок 1" descr="140708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40708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E9A" w:rsidRPr="00021E9A" w:rsidRDefault="00021E9A" w:rsidP="00021E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i/>
          <w:iCs/>
          <w:sz w:val="15"/>
          <w:szCs w:val="15"/>
          <w:lang w:eastAsia="ru-RU"/>
        </w:rPr>
        <w:t>NB: г. Ош был выделен отдельно только в опросе 2013 г.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данным исследования 2013 г., 29% опрошенных лидеров НПО считают, что государственные органы видят в целях НПО власть, и 38% считают, что государственные органы видят в них иностранных агентов. Инициирование законопроекта об иностранных агентах в 2013 г. и другие подобные инициативы в прошлом, являются примерами таких взглядов.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Исследование, проведенное Национальным статистическим комитетом</w:t>
      </w:r>
      <w:r w:rsidRPr="00021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показывает, что доля НПО (т.е. НКО, не образованных государственным органом) составляет около 5%</w:t>
      </w:r>
      <w:r w:rsidRPr="00021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среди некоммерческих организаций. Для сравнения в России в 2008 г. было 75112 НКО, в 2009 г. – 73212, 2010 г. – 79888, 2011 г. – 83881, 2012 г. – 85185, 2013 г. – 87028 согласно данным Росстата, и из них 10-15%, согласно экспертным оценкам, занимались публично-правовой деятельностью</w:t>
      </w:r>
      <w:r w:rsidRPr="00021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4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. Опрос, проведенный АЦПГО в 2013 г., показал, что наиболее активно НПО, по их мнению, взаимодействуют с исполнительными органами местного самоуправления (63% респондентов), с законодательной ветвью власти (43%) и с другими органами власти. Что примечательно, по этому опросу взаимодействие с институтом омбудсмена стоит на последнем месте (только 13% респондентов отметили, что взаимодействуют с этим органом). На сайте этого органа (www.ombudsman.kg), на страничке «сотрудничество», только Совет по делам молодежи и студентов и Совет по культуре указаны в качестве общественных площадок при Омбудсмене. По данным этого исследования на вопрос, каким должно быть взаимодействие с властью, ответы были о том, что стороны должны вступать в социальное партнерство – 88%; НПО должны защищать интересы граждан перед органами власти – 83%; НПО должны разрабатывать и реализовывать программы совместно с органами власти – 84%</w:t>
      </w:r>
      <w:r w:rsidRPr="00021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5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, т.е. большинство НПО считают необходимым взаимодействовать с органами власти.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Нормативные возможности взаимодействия НПО с государством возникли с 1999 года с принятием закона «О некоммерческих организациях», хотя признание общественных организаций в нормативных актах, регулирующих систему государственного управления, произошло гораздо позже. К примеру, закон «О нормативных правовых актах Кыргызской Республики», который регламентирует процедуры создания нормативных актов, летом 2009 г. претерпел изменения, которые возможность участия граждан в нормотворчестве (в виде выражений, что органы государственной власти «могут» или «вправе» вовлекать граждан и их объединения в процессы принятия решений) заменили на достаточно детально регламентируемую обязательность вовлечения граждан в процессы законотворчества. Более систематическая попытка организации вовлечения 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общественности в систему государственного управления предпринята указом Президента КР от 29 сентября 2010 года (№ 212) «О совершенствовании взаимодействия органов государственного управления с гражданским обществом», согласно которому при органах государственной власти создаются общественные наблюдательные советы. Несмотря на определенные достижения в нормативном обеспечении участия граждан и общественных организаций в процессах принятия решений, у государства нет сформированной и последовательной политики по отношению к гражданскому обществу. Это видно из опросов. К примеру, опрос АЦПГО, проведенный среди НПО в 2013 г., показывает, что 73% респондентов считает, что у государства нет последовательной политики в отношении НПО</w:t>
      </w:r>
      <w:r w:rsidRPr="00021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6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Внимание к НПО сектору со стороны государства не всегда было и остается однозначным. Крайним выражением негативного отношения являются инициативы по строгому контролю над сектором. Так были законотворческие инициативы со стороны </w:t>
      </w:r>
      <w:proofErr w:type="spell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Масалиева</w:t>
      </w:r>
      <w:proofErr w:type="spell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А., </w:t>
      </w:r>
      <w:proofErr w:type="spell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Толонова</w:t>
      </w:r>
      <w:proofErr w:type="spell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А., </w:t>
      </w:r>
      <w:proofErr w:type="spell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Айдарова</w:t>
      </w:r>
      <w:proofErr w:type="spell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 и др. в 2009 г.</w:t>
      </w:r>
      <w:r w:rsidRPr="00021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7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депутата </w:t>
      </w:r>
      <w:proofErr w:type="spell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Бакир</w:t>
      </w:r>
      <w:proofErr w:type="spell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уулу</w:t>
      </w:r>
      <w:proofErr w:type="spell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 – в 2013 г. Обе инициативы пытались регулировать т.н. «политическую деятельность» неправительственных организаций. В первом случае инициатива не дошла до принятия ее парламентом, вторая инициатива все еще обсуждается. Один из со-авторов законопроекта в 2009 г. И. </w:t>
      </w:r>
      <w:proofErr w:type="spell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Масалиев</w:t>
      </w:r>
      <w:proofErr w:type="spell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круглом столе отметил, что </w:t>
      </w:r>
      <w:proofErr w:type="gram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«..</w:t>
      </w:r>
      <w:proofErr w:type="gram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говоря о политической деятельности, мы подразумеваем участие в делах государственного управления в той или иной форме. Существует институт политических партий, у нас в стране более сотни таких. Мне непонятно, почему гражданин не может посредством участия в политической партии выражать свою активную жизненную позицию? Политическим партиям запрещается использовать средства, поступающие из-за рубежа, закон запрещает»</w:t>
      </w:r>
      <w:r w:rsidRPr="00021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8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этой связи также стоит отметить, что некоторые инициативы относительно гражданского общества отражают подобные же действия, предпринимаемые в Российской Федерации. Это касается как недавней инициативы </w:t>
      </w:r>
      <w:proofErr w:type="spell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Бакир</w:t>
      </w:r>
      <w:proofErr w:type="spell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уулу</w:t>
      </w:r>
      <w:proofErr w:type="spell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(что связано с принятым недавно законом РФ об иностранных агентах), создания в 2009 году Общественной палаты по российскому образцу с тем, чтобы кооптировать НПО в структуры власти, а также инициатива создания законопроекта о «О противодействии легализации преступных доходов» государственной службы финансовой разведки» в 2013 г.</w:t>
      </w:r>
      <w:r w:rsidRPr="00021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9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Протест как форма влияния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Граждане могут взаимодействовать с органами государственной власти через официальные формализованные и </w:t>
      </w:r>
      <w:proofErr w:type="spell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институциализированные</w:t>
      </w:r>
      <w:proofErr w:type="spell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механизмы или же пытаться воздействовать помимо них. Поскольку практика создания таких институтов нарастала постепенно и не успевала вбирать в себя растущую активность выражения общественных интересов, то часто формой влияния на органы власти являлся и является протест. Он был актуален как в силу того, что политический режим был закрыт для других способов воздействия, так и в силу того, что доверие к действенности формальных механизмов является до сих пор низким.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Исследование на основе данных Фонда за международную толерантность (вестник</w:t>
      </w:r>
      <w:r w:rsidRPr="00021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10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регулярно выпускался с июня 2005 по январь 2008 года включительно) показывает, что за 29 месяцев работы вестника было выявлено и зафиксировано 649 конфликтных ситуаций, которые отражены в девяноста двух его выпусках. Как показал контент-анализ вестника, участие НПО было в 32 случаях, что дает около 7% от всех случаев протестных акций. Роль НПО во всех акциях с их участием была различной. Только в 20 случаях из 32 они являлись организаторами протестов. В 5 случаях они выступали в роли </w:t>
      </w:r>
      <w:proofErr w:type="spell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фасилитаторов</w:t>
      </w:r>
      <w:proofErr w:type="spell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процесса (пытались, в том числе, играть посредническую роль). В 6 случаях они являлись просто одними из участников акций, и в 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одном случае они были причиной протеста (спор в мае 2006 г. в г. Кара-</w:t>
      </w:r>
      <w:proofErr w:type="spell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Суу</w:t>
      </w:r>
      <w:proofErr w:type="spell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относительно стоянки, принадлежащей членам общественного объединения «Афганский дозор»). Если оценить активность НПО в протестном движении, то выходит что только 4,3% всех протестных акций были организованы ими, т.е. каждый двадцатый протест, что, в общем-то, небольшая доля от всех протестов.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Распространенность и активность неправительственных организаций по стране достаточно неравномерна. Неравномерна также и их активность в протестной деятельности, и была всего одна акция, которая прошла масштабно по всей стране (организованная в октябре 2005 г. «Коалицией за Демократию и Гражданское Общество» под лозунгом «Народ Кыргызстана един против криминала»). Как показывают данные исследования, формы протеста с участием НПО различны. На диаграмме 2 видно, что как и во многих других случаях протеста в стране в этот период преобладает форма митингов, составляющая три четверти всех случаев протестов с участием НПО.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Диаграмма 2. </w:t>
      </w:r>
      <w:r w:rsidRPr="0002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Репертуар протестных акций с участием НПО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465C89" wp14:editId="2858D5DA">
            <wp:extent cx="3733800" cy="2583180"/>
            <wp:effectExtent l="0" t="0" r="0" b="7620"/>
            <wp:docPr id="2" name="Рисунок 2" descr="140708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40708_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58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также 3 случая, когда были организованы мирные шествия, 2 случая угрозы публичного суицида, 2 случая, когда протестные требования выносились на собраниях и курултаях, и один случай, когда перекрывалась дорога. Одним из выводов является то, что относительная доля участия НПО в общем протестном движении за указанный период была относительно небольшой, и что формы их протеста, за исключением одного случая, носили мирный характер. Интересно также, что доля НПО, участвовавших в протестных акциях в качестве модераторов или медиаторов, была также небольшой – 4 случая. Относительно общего количества акций с участием НПО это достаточно большое количество, однако относительно общего количества протестных акций – это небольшая доля. Также анализ данных показывает, что протестная активность НПО не зависит от количества неправительственных организаций в том или ином регионе. Протестная активность НПО выражается в особенностях развития отдельных организаций, которые и дают множественные случаи акций в базе данных.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сравнивать эти данные за 2005-2007 гг. с проведенным недавно исследованием Независимой правозащитной группой (НПГ)</w:t>
      </w:r>
      <w:r w:rsidRPr="00021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11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в 2011-2012 большинство акций протеста носило общественно-политический характер. В целом отмечается снижение доли акций, проводимых в общественно-политических целях, и увеличение доли акций с социально-экономическими целями. </w:t>
      </w:r>
      <w:proofErr w:type="gram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согласно этому же исследованию</w:t>
      </w:r>
      <w:proofErr w:type="gram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общее 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количество акций увеличилось (по данным МВД) с 726 в 2012 г. до 663 за первые 9 месяцев 2013 г. По данным этого же исследования наиболее активными организаторами акций протеста являются частные лица, политические партии, а также НПО, которые в 2013 г. почти в каждом 4-м случае были организаторами акций (см. диаграмму 3).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Диаграмма 3. </w:t>
      </w:r>
      <w:r w:rsidRPr="0002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Организация акций протеста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4D00806" wp14:editId="4BD0BDAC">
            <wp:extent cx="4648200" cy="2933700"/>
            <wp:effectExtent l="0" t="0" r="0" b="0"/>
            <wp:docPr id="3" name="Рисунок 3" descr="140708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40708_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E9A" w:rsidRPr="00021E9A" w:rsidRDefault="00021E9A" w:rsidP="00021E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i/>
          <w:iCs/>
          <w:sz w:val="15"/>
          <w:szCs w:val="15"/>
          <w:lang w:eastAsia="ru-RU"/>
        </w:rPr>
        <w:t>Источник: исследование НПГ, 2013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Несмотря на то, что исследование на основе вестника ФМТ и исследование НПГ проводились различными способами, тем не менее, можно говорить о том, что произошел рост протестной активности неправительственного сектора. Это частично может объясняться тем, что согласно исследованию АЦПГО за 2013 г., почти половина (47%) активных НПО были зарегистрированы в 2010-2012 гг., скорее всего как результат и как реакция на апрельские и июньские события 2010 г.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участия: советы, рабочие группы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Общественные наблюдательные советы (ОНС), созданные указом Президента КР в 2010 г., в основе своей идеи дают возможность участия НПО через формальные механизмы в процессах принятия решений органов государственной власти (несмотря на ограниченные полномочия ОНС). К лету 2011 г. советы были сформированы и было выбрано руководство (председатели, заместители и секретари) при 30 госорганах в общем количестве 112 человек</w:t>
      </w:r>
      <w:r w:rsidRPr="00021E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12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. Численность руководящего состава составляла от трех до четырех человек. Ниже на диаграмме приведен анализ руководящего состава ОНС, исходя их сферы их деятельности.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Диаграмма 4. </w:t>
      </w:r>
      <w:r w:rsidRPr="0002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Структура руководства ОНС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drawing>
          <wp:inline distT="0" distB="0" distL="0" distR="0" wp14:anchorId="021C978B" wp14:editId="1DEE5CE8">
            <wp:extent cx="4076700" cy="3108960"/>
            <wp:effectExtent l="0" t="0" r="0" b="0"/>
            <wp:docPr id="4" name="Рисунок 4" descr="140708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40708_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10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показывает диаграмма 4, доля руководящего состава ОНС, которая является членами неправительственных организаций, составляла почти половину (47%) от всего количества, если учитывать что бизнес ассоциации тоже являются по форме и по сути своей деятельности неправительственными организациями. В ряде ведомств они составляли или полностью состав руководства ОНС (Государственная служба КР по контролю наркотиков), или же были представлены тремя людьми (Государственная служба исполнения наказаний, Министерство внутренних дел и Министерство по социальной защите населения КР). Ниже на диаграмме 5 представлено количественное распределение НПО и бизнес ассоциаций в составе ОНС.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Диаграмма 5. </w:t>
      </w:r>
      <w:r w:rsidRPr="0002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Доля НПО и бизнес ассоциаций в ОНС, 2011 г.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b/>
          <w:bCs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 wp14:anchorId="52F22287" wp14:editId="2E23745A">
            <wp:extent cx="3810000" cy="4960620"/>
            <wp:effectExtent l="0" t="0" r="0" b="0"/>
            <wp:docPr id="5" name="Рисунок 5" descr="140708_5">
              <a:hlinkClick xmlns:a="http://schemas.openxmlformats.org/drawingml/2006/main" r:id="rId9" tooltip="&quot;140708_5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40708_5">
                      <a:hlinkClick r:id="rId9" tooltip="&quot;140708_5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96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видно из этой диаграммы в руководстве 25 ОНС бизнес ассоциации не присутствуют что обусловлено миссией этих организаций, представляющих интересы своих членов, являющихся в основном коммерческими структурами. Бизнес ассоциации присутствуют в основном в советах при структурах, регулирующих экономическую деятельность. Как было сказано выше, в Государственной налоговой службе они представлены 3 из 4 членов руководства ОНС. И также у них есть по одному представителю еще в 4 ведомствах (Государственная таможенная служба, Министерство экономического регулирования, Министерство юстиции, Государственное агентство по контролю за производством и оборотом этилового спирта, алкогольной и спиртосодержащей продукции).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касается НПО (кроме бизнес ассоциаций), то они не были представлены только в 5 ведомствах. Если налоговые и таможенные службы представлены другим типом НПО – бизнес ассоциациями, то отсутствие представителей НПО в руководстве ОНС в ведомствах, занимающихся вопросами религии, физкультуры и спорта, и Национальной аттестационной комиссии объясняется слабой представленностью в целом сектора НПО в этих сферах. В 13 ведомствах НПО представлены одним человеком, в 8 – двумя людьми, в 3 – тремя, а при одном ведомстве все члены ОНС являются представителями неправительственного сектора.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Интересно также отметить, что в составе руководства ОНС представлены и другие сектора гражданского общества – средства массовой информации (3%) и профсоюзы (4%). Если представленность СМИ объясняется наличием журналистов, разбирающихся в сфере деятельности того или иного ведомства (к примеру, Министерство транспорта и коммуникаций, Министерство обороны), то профсоюзы вошли в сферу ведомств общего 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регулирования экономики, труда и занятости (агентство антимонопольного регулирования, министерство труда и занятости) или же в специфические сферы – представитель профсоюза государственных и муниципальных сотрудников в ОНС при министерстве иностранных дел, а представитель профсоюза авиаработников – в ОНС при таможенной службе.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Другим примером официального (</w:t>
      </w:r>
      <w:proofErr w:type="spell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институциализированного</w:t>
      </w:r>
      <w:proofErr w:type="spell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) участия НПО в процессах принятия решений является их включение в состав различных рабочих, формируемых правительством групп (вопрос действенности и результативности групп здесь не рассматривается). Из 173 рабочих групп (РГ), сформированных правительством с апреля 2010 г. по январь 2014 г, в 45 случаях (26%) представители НПО вовлекались в качестве членов рабочих групп. В ряде случаев в качестве членов РГ вовлекались эксперты (обозначаемые в документах как «независимый эксперт» или иногда как представители консалтинговых компаний) – 17 случаев (9,8%). В общем, если считать и тех, кто обозначался как представитель НПО и как эксперт, то их общая представленность в рабочих группах составляет 62 случая (или 35,8%). Что интересно случаев, когда в одной группе присутствовали члены НПО и эксперты, было всего 7 (4%). Если смотреть не только на частоту случаев формирования РГ с участием НПО, но и на их представленность в виде доли среди членов рабочей группы, то в среднем за период она составила 4,8% с разбросом от 54% до 4,3%. Если средний размер группы составлял 13,58 человека, то в группах с участием НПО размер достигал 17,76 человека, что объяснимо тем, что вопросы, по которым вовлекаются НПО, требуют, как правило, более широкого участия заинтересованных сторон.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до апреля 2010 г. (январь 2008 г. – апрель 2010 г.) средний процент участия НПО составил 26,5%, т.е. в плане формального вовлечения НПО ситуация после 2010 сильно не изменилась. Разница конечно в том, что в эти два периода был разный политический контекст, со сравнительно большей ролью правительства во втором периоде. На диаграмме 6 видна частота появления групп с участием НПО и процент членов НПО среди членов РГ, и можно заметить некоторые тенденции.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Диаграмма 6. </w:t>
      </w:r>
      <w:r w:rsidRPr="0002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Доля НПО среди членов рабочих групп, сформированных правительством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(2008-2014 гг.)</w:t>
      </w:r>
    </w:p>
    <w:p w:rsidR="00021E9A" w:rsidRPr="00021E9A" w:rsidRDefault="00021E9A" w:rsidP="00021E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 wp14:anchorId="1C8B3348" wp14:editId="233B0190">
            <wp:extent cx="4762500" cy="2103120"/>
            <wp:effectExtent l="0" t="0" r="0" b="0"/>
            <wp:docPr id="6" name="Рисунок 6" descr="140708_6">
              <a:hlinkClick xmlns:a="http://schemas.openxmlformats.org/drawingml/2006/main" r:id="rId11" tooltip="&quot;140708_6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40708_6">
                      <a:hlinkClick r:id="rId11" tooltip="&quot;140708_6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E9A" w:rsidRPr="00021E9A" w:rsidRDefault="00021E9A" w:rsidP="00021E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i/>
          <w:iCs/>
          <w:sz w:val="15"/>
          <w:szCs w:val="15"/>
          <w:lang w:eastAsia="ru-RU"/>
        </w:rPr>
        <w:t xml:space="preserve">Данные: правовая база </w:t>
      </w:r>
      <w:proofErr w:type="spellStart"/>
      <w:r w:rsidRPr="00021E9A">
        <w:rPr>
          <w:rFonts w:ascii="Times New Roman" w:eastAsia="Times New Roman" w:hAnsi="Times New Roman" w:cs="Times New Roman"/>
          <w:i/>
          <w:iCs/>
          <w:sz w:val="15"/>
          <w:szCs w:val="15"/>
          <w:lang w:eastAsia="ru-RU"/>
        </w:rPr>
        <w:t>Токтом</w:t>
      </w:r>
      <w:proofErr w:type="spellEnd"/>
      <w:r w:rsidRPr="00021E9A">
        <w:rPr>
          <w:rFonts w:ascii="Times New Roman" w:eastAsia="Times New Roman" w:hAnsi="Times New Roman" w:cs="Times New Roman"/>
          <w:i/>
          <w:iCs/>
          <w:sz w:val="15"/>
          <w:szCs w:val="15"/>
          <w:lang w:eastAsia="ru-RU"/>
        </w:rPr>
        <w:t xml:space="preserve"> (линия тренда полиномиальная)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 из них заключается в том, что процент присутствия в рабочих группах после 2010 г. гораздо больше чем до этого. Это может означать, что их стали включать не только для «галочки». Другой тенденцией является также то, что в целом за период, начиная с 2010 г., происходит снижение доли рабочих групп с участием них НПО. Это особенно заметно 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сравнении правительств этого периода (за исключением Временного и т.н. «технического») на диаграмме 7. В целом видно резкое снижение участия НПО в рабочих группах, сформированных тремя последними правительствами.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Диаграмма 7. </w:t>
      </w:r>
      <w:r w:rsidRPr="0002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 НПО в РГ после 2010 г.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 wp14:anchorId="02217FD2" wp14:editId="5A3155BB">
            <wp:extent cx="3947160" cy="3329940"/>
            <wp:effectExtent l="0" t="0" r="0" b="3810"/>
            <wp:docPr id="7" name="Рисунок 7" descr="140708_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40708_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16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Выводы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постсоветское время неправительственный сектор вырос количественно и в то же время сформировался в значительной своей части как субъект продвижения общественных интересов. Это шло наряду с постепенным развитием нормативной базы для обеспечения участия НПО в процессах принятия решений органами государственной власти. Неправительственные организации уже не являются однородными структурами по типу своей деятельности и идеологической направленности, и в последнее время структура сектора сильно диверсифицирована. Учитывая то, что сектор является политически активным, это может означать потенциальное усиление поляризации общественных интересов, продвигаемых НПО, которые могут базироваться на различных ценностях и убеждениях. А также учитывая то, что политическая система стала плюралистической, а система управления все еще до конца не консолидирована, сочетание этих систем с определенной фрагментацией сектора может означать потенциальный рост напряженности для процессов принятия решений органами государственной власти, особенно для тех процессов, которые неизбежно становятся более публичными.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Рост НПО сектора выражается в том, что множество организаций занимается как активной политической деятельностью, так и другого рода деятельностью, которая не сопряжена напрямую с воздействием на процессы принятия решения государственными органами. Постепенно происходит приток организаций, которые занимались сервисной функцией по отношению к общественным потребностям, в сферу политическую, в сферу принятий решений по выработке политик. Некоторые данные показывают также, что происходит приток новых общественных организаций, которые пытаются и будут пытаться влиять на политику государства. Часть этих попыток реализуется в протестной </w:t>
      </w: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форме. Однако в значительной мере в органах государственной власти сложилось умение, как минимум, смягчать последствия такого рода действий (через переговоры и т.д.).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Однако до тех пор, пока не будут четче формироваться институциональные формы вовлечения в процессы принятия решений, существует риск того, что протесты будут перетекать из сферы политики государства (определение проблем и путей их решения) в пространство чисто политическое (смена власти), что в предвыборный 2014 год довольно опасно. Определенная </w:t>
      </w:r>
      <w:proofErr w:type="spell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институциализация</w:t>
      </w:r>
      <w:proofErr w:type="spell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этой сфере произошла и все еще происходит в виде вовлечения организаций гражданского общества в ОНС, рабочие группы, формируемые правительством, и другие формы консультаций с обществом. Однако эта </w:t>
      </w:r>
      <w:proofErr w:type="spell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институциализация</w:t>
      </w:r>
      <w:proofErr w:type="spell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слаба, поскольку нет четко зафиксированной и последовательной политики в отношении неправительственного сектора. К тому же видна тенденция (на примере рабочих групп) к снижению вовлечения неправительственного сектора в формальные процессы принятия решений. Есть также риски того, что разнородная политическая элита, неконсолидированная система управления и поляризующееся гражданское общество могут все вместе сыграть против эффективной </w:t>
      </w:r>
      <w:proofErr w:type="spellStart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институциализации</w:t>
      </w:r>
      <w:proofErr w:type="spellEnd"/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роли последнего в системе принятия решений органами государственной власти.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 Сектор НПО в цифрах и фактах: по результатам анкетирования лидеров НПО Кыргызской Республики. Бишкек: 2006, а также презентация АЦПГО, http://download.files.namba.kg/files/78968782. Стоит отметить, что методика исследования был разной и, соответственно, использовать их для сравнения можно с некоторыми допущениями.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2 Из: Некоммерческие организации в Кыргызской Республике. Специальная публикация. Национальный статистический комитет КР, Программа волонтеров ООН в КР, Центр изучения гражданского общества университета Джона </w:t>
      </w:r>
      <w:proofErr w:type="spellStart"/>
      <w:r w:rsidRPr="00021E9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Хопкинса</w:t>
      </w:r>
      <w:proofErr w:type="spellEnd"/>
      <w:r w:rsidRPr="00021E9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2010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 Там же. С. 17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 Как менялось число зарегистрированных НКО за последние годы. http://expert.ru/russian_reporter/2013/24/pyat-vyidayuschihsya-nko/media/198658/. Просмотрено 4 июля 2013 г.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 Презентация АЦПГО, http://download.files.namba.kg/files/78968782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 Презентация АЦПГО, 2013, http://download.files.namba.kg/files/78968782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7 Лидеры НПО против инициативы депутатов. http://rus.azattyk.org/archive/ky_News_in_Russian_ru/20090227/4792/4795.html?id=2687066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8 Внесение поправок в ряд законов, регулирующих деятельность некоммерческих организаций: за и против. Институт общественной политики, 12.03.2009. http://www.ipp.kg/ru/news/761. Просмотрено 6 октября 2012.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9 Когда власти крепнут, начинают давить на своих союзников. Голос свободы. 02.10.13 http://vof.kg/?p=11978&amp;lang=kg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10 Вестник Фонда за международную толерантность (Вестник ФМТ). www.fti.org.kg/</w:t>
      </w:r>
      <w:proofErr w:type="spellStart"/>
      <w:r w:rsidRPr="00021E9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bulletin</w:t>
      </w:r>
      <w:proofErr w:type="spellEnd"/>
      <w:r w:rsidRPr="00021E9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Исследование было сделано автором.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11 Права на свободу мирных собраний в Кыргызской Республике (результат итогов мониторинга). Независимая правозащитная группа, Бишкек-2013</w:t>
      </w:r>
    </w:p>
    <w:p w:rsidR="00021E9A" w:rsidRPr="00021E9A" w:rsidRDefault="00021E9A" w:rsidP="00021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1E9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12 http://www.gov.kg/index.php?option=com_content&amp;task=view&amp;id=1550&amp;Itemid=1. Просмотрено 31 мая 2011 г.</w:t>
      </w:r>
    </w:p>
    <w:p w:rsidR="00551B0B" w:rsidRDefault="00551B0B"/>
    <w:sectPr w:rsidR="00551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E9A"/>
    <w:rsid w:val="00021E9A"/>
    <w:rsid w:val="00492757"/>
    <w:rsid w:val="00551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400BC95"/>
  <w15:docId w15:val="{6A4EB9C7-7D53-F24A-8B99-CA9530981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1E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1E9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92757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927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8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14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51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02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7.gif"/><Relationship Id="rId3" Type="http://schemas.openxmlformats.org/officeDocument/2006/relationships/webSettings" Target="webSettings.xml"/><Relationship Id="rId7" Type="http://schemas.openxmlformats.org/officeDocument/2006/relationships/image" Target="media/image3.gif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hyperlink" Target="http://static.akipress.org/127/.storage/analytics/images/obshestvo/0bd2d31b0466e8811e933161069a7897.gif" TargetMode="External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image" Target="media/image5.gif"/><Relationship Id="rId4" Type="http://schemas.openxmlformats.org/officeDocument/2006/relationships/hyperlink" Target="http://analitika.akipress.org/news:5048" TargetMode="External"/><Relationship Id="rId9" Type="http://schemas.openxmlformats.org/officeDocument/2006/relationships/hyperlink" Target="http://static.akipress.org/127/.storage/analytics/images/obshestvo/b86919961ef3e44a1e4532ac89972a80.gi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3388</Words>
  <Characters>19312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Microsoft Office User</cp:lastModifiedBy>
  <cp:revision>2</cp:revision>
  <dcterms:created xsi:type="dcterms:W3CDTF">2019-12-11T09:14:00Z</dcterms:created>
  <dcterms:modified xsi:type="dcterms:W3CDTF">2019-12-11T09:14:00Z</dcterms:modified>
</cp:coreProperties>
</file>